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 xml:space="preserve">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hospo</w:t>
      </w:r>
      <w:r>
        <w:rPr>
          <w:b/>
          <w:rFonts w:ascii="Arial" w:hAnsi="Arial"/>
          <w:sz w:val="20"/>
        </w:rPr>
        <w:t xml:space="preserve">dářský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(např. 1. 4. 202</w:t>
      </w:r>
      <w:r>
        <w:rPr>
          <w:i/>
          <w:rFonts w:ascii="Arial" w:hAnsi="Arial"/>
          <w:sz w:val="20"/>
        </w:rPr>
        <w:t>0 - 31. 3. 2021; 1. 4. 2021 - 31. 12. 2021)</w:t>
      </w:r>
      <w:r>
        <w:rPr>
          <w:rFonts w:ascii="Arial" w:hAnsi="Arial"/>
          <w:sz w:val="20"/>
        </w:rPr>
        <w:t>:</w:t>
      </w: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  <w:rPr>
          <w:b/>
          <w:rFonts w:ascii="Arial" w:hAnsi="Arial"/>
          <w:sz w:val="20"/>
        </w:rPr>
      </w:pPr>
      <w:r>
        <w:rPr>
          <w:b/>
          <w:rFonts w:ascii="Arial" w:hAnsi="Arial"/>
          <w:sz w:val="20"/>
        </w:rPr>
        <w:t>Podniky</w:t>
      </w:r>
      <w:r>
        <w:rPr>
          <w:b/>
          <w:rFonts w:ascii="Arial" w:hAnsi="Arial"/>
          <w:sz w:val="20"/>
        </w:rPr>
        <w:t xml:space="preserve"> </w:t>
      </w:r>
      <w:r>
        <w:rPr>
          <w:b/>
          <w:rFonts w:ascii="Arial" w:hAnsi="Arial"/>
          <w:sz w:val="20"/>
        </w:rPr>
        <w:t>pro</w:t>
      </w:r>
      <w:r>
        <w:rPr>
          <w:b/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následujíc</w:t>
            </w:r>
            <w:r>
              <w:rPr>
                <w:b/>
                <w:rFonts w:ascii="Arial" w:hAnsi="Arial"/>
                <w:sz w:val="20"/>
              </w:rPr>
              <w:t>ích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členů správního, řídícího nebo dozorčího orgánu jiného subjek</w:t>
            </w:r>
            <w:r>
              <w:rPr>
                <w:rFonts w:ascii="Arial" w:hAnsi="Arial"/>
                <w:sz w:val="20"/>
              </w:rPr>
              <w:t>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d) jeden subjekt, který je akcionářem nebo společníkem jinéh</w:t>
            </w:r>
            <w:r>
              <w:rPr>
                <w:rFonts w:ascii="Arial" w:hAnsi="Arial"/>
                <w:sz w:val="20"/>
              </w:rPr>
              <w:t xml:space="preserve">o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náležejících akcionářům nebo společníkům, 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Subjekty, které mají s žadatelem o podporu jakýkoli vztah</w:t>
            </w:r>
            <w:r>
              <w:rPr>
                <w:rFonts w:ascii="Arial" w:hAnsi="Arial"/>
                <w:sz w:val="20"/>
              </w:rPr>
              <w:t xml:space="preserve"> 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</w:t>
            </w:r>
            <w:r>
              <w:rPr>
                <w:rFonts w:ascii="Arial" w:hAnsi="Arial"/>
                <w:sz w:val="20"/>
              </w:rPr>
              <w:t>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>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</w:t>
      </w:r>
      <w:r>
        <w:rPr>
          <w:rFonts w:ascii="Arial" w:hAnsi="Arial"/>
          <w:sz w:val="20"/>
        </w:rPr>
        <w:t xml:space="preserve">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 podniku: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rPr>
          <w:trHeight w:val="308" w:hRule="atLeast"/>
        </w:trP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>. 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526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5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</w:t>
            </w:r>
            <w:r>
              <w:rPr>
                <w:b/>
                <w:rFonts w:ascii="Arial" w:hAnsi="Arial"/>
                <w:sz w:val="20"/>
              </w:rPr>
              <w:t>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se zavazuje k tomu, že v případě změny předmětných údajů v průběhu administrativního procesu poskytnutí podpory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14" w:type="dxa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>Datum a místo podpisu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15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14" w:type="dxa"/>
          </w:tcPr>
          <w:p>
            <w:pPr>
              <w:pStyle w:val="Normln"/>
              <w:jc w:val="left"/>
            </w:pPr>
          </w:p>
        </w:tc>
      </w:tr>
      <w:tr>
        <w:trPr>
          <w:trHeight w:val="166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79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69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  <w:rPr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>Údaje obsažené v tom</w:t>
      </w:r>
      <w:r>
        <w:rPr>
          <w:i/>
          <w:rFonts w:ascii="Arial" w:hAnsi="Arial"/>
          <w:sz w:val="20"/>
        </w:rPr>
        <w:t>to prohlášení budou za účelem evidence podpor malého rozsahu v souladu se zákonem č. 215/2004 Sb., o úpravě některých vztahů v oblasti veřejné podpory a o změně zákona o</w:t>
      </w:r>
      <w:r>
        <w:rPr>
          <w:i/>
          <w:rFonts w:ascii="Arial" w:hAnsi="Arial"/>
          <w:sz w:val="20"/>
        </w:rPr>
        <w:t> </w:t>
      </w:r>
      <w:r>
        <w:rPr>
          <w:i/>
          <w:rFonts w:ascii="Arial" w:hAnsi="Arial"/>
          <w:sz w:val="20"/>
        </w:rPr>
        <w:t>podpoře výzkumu a vývoje, ve znění p. p. uvedeny v Centrálním registru podpor malého r</w:t>
      </w:r>
      <w:r>
        <w:rPr>
          <w:i/>
          <w:rFonts w:ascii="Arial" w:hAnsi="Arial"/>
          <w:sz w:val="20"/>
        </w:rPr>
        <w:t>ozsahu.</w:t>
      </w:r>
      <w:r>
        <w:rPr>
          <w:i/>
          <w:rFonts w:ascii="Arial" w:hAnsi="Arial"/>
          <w:sz w:val="20"/>
        </w:rPr>
        <w:t xml:space="preserve"> </w:t>
      </w:r>
    </w:p>
    <w:sectPr>
      <w:headerReference r:id="rId8" w:type="first"/>
      <w:footerReference r:id="rId9" w:type="default"/>
      <w:footerReference r:id="rId10" w:type="first"/>
      <w:pgSz w:w="11906" w:h="16838"/>
      <w:pgMar w:left="1304" w:right="1304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2</w:t>
      </w:r>
    </w:fldSimple>
  </w:p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  <w:rPr>
        <w:i/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styleId="Revize">
    <w:name w:val="Revize"/>
    <w:qFormat/>
    <w:pPr/>
    <w:rPr>
      <w:rFonts w:ascii="Times New Roman" w:hAnsi="Times New Roman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